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ED" w:rsidRPr="00D026D1" w:rsidRDefault="001F25ED" w:rsidP="001F25ED">
      <w:pPr>
        <w:jc w:val="both"/>
        <w:rPr>
          <w:rFonts w:cs="Arial"/>
          <w:color w:val="auto"/>
        </w:rPr>
      </w:pPr>
      <w:r w:rsidRPr="00D026D1">
        <w:rPr>
          <w:rFonts w:cs="Arial"/>
          <w:b/>
          <w:bCs/>
          <w:color w:val="auto"/>
        </w:rPr>
        <w:t xml:space="preserve">Appendix 4 – </w:t>
      </w:r>
      <w:r w:rsidRPr="00D026D1">
        <w:rPr>
          <w:rFonts w:cs="Arial"/>
          <w:color w:val="auto"/>
        </w:rPr>
        <w:t>Impact and support for organisations currently funded</w:t>
      </w:r>
    </w:p>
    <w:p w:rsidR="007D1B81" w:rsidRDefault="007D1B81"/>
    <w:tbl>
      <w:tblPr>
        <w:tblStyle w:val="GridTable4"/>
        <w:tblW w:w="0" w:type="auto"/>
        <w:tblLayout w:type="fixed"/>
        <w:tblLook w:val="04A0" w:firstRow="1" w:lastRow="0" w:firstColumn="1" w:lastColumn="0" w:noHBand="0" w:noVBand="1"/>
      </w:tblPr>
      <w:tblGrid>
        <w:gridCol w:w="3600"/>
        <w:gridCol w:w="780"/>
        <w:gridCol w:w="4215"/>
      </w:tblGrid>
      <w:tr w:rsidR="001F25ED" w:rsidRPr="00D026D1" w:rsidTr="00E9679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tcBorders>
          </w:tcPr>
          <w:p w:rsidR="001F25ED" w:rsidRPr="00D026D1" w:rsidRDefault="001F25ED" w:rsidP="00E9679D">
            <w:pPr>
              <w:rPr>
                <w:rFonts w:cs="Arial"/>
              </w:rPr>
            </w:pPr>
            <w:r w:rsidRPr="00D026D1">
              <w:rPr>
                <w:rFonts w:eastAsia="Arial" w:cs="Arial"/>
                <w:color w:val="FFFFFF" w:themeColor="background1"/>
                <w:sz w:val="18"/>
                <w:szCs w:val="18"/>
              </w:rPr>
              <w:t>Impacts on Each Sector</w:t>
            </w:r>
          </w:p>
        </w:tc>
        <w:tc>
          <w:tcPr>
            <w:tcW w:w="780" w:type="dxa"/>
            <w:tcBorders>
              <w:top w:val="single" w:sz="8" w:space="0" w:color="000000" w:themeColor="text1"/>
              <w:bottom w:val="single" w:sz="8" w:space="0" w:color="000000" w:themeColor="text1"/>
            </w:tcBorders>
          </w:tcPr>
          <w:p w:rsidR="001F25ED" w:rsidRPr="00D026D1" w:rsidRDefault="001F25ED" w:rsidP="00E9679D">
            <w:pPr>
              <w:jc w:val="center"/>
              <w:cnfStyle w:val="100000000000" w:firstRow="1" w:lastRow="0" w:firstColumn="0" w:lastColumn="0" w:oddVBand="0" w:evenVBand="0" w:oddHBand="0" w:evenHBand="0" w:firstRowFirstColumn="0" w:firstRowLastColumn="0" w:lastRowFirstColumn="0" w:lastRowLastColumn="0"/>
              <w:rPr>
                <w:rFonts w:cs="Arial"/>
              </w:rPr>
            </w:pPr>
            <w:r w:rsidRPr="00D026D1">
              <w:rPr>
                <w:rFonts w:eastAsia="Arial" w:cs="Arial"/>
                <w:color w:val="FFFFFF" w:themeColor="background1"/>
                <w:sz w:val="18"/>
                <w:szCs w:val="18"/>
              </w:rPr>
              <w:t>Rating</w:t>
            </w:r>
          </w:p>
          <w:p w:rsidR="001F25ED" w:rsidRPr="00D026D1" w:rsidRDefault="001F25ED" w:rsidP="00E9679D">
            <w:pPr>
              <w:jc w:val="center"/>
              <w:cnfStyle w:val="100000000000" w:firstRow="1" w:lastRow="0" w:firstColumn="0" w:lastColumn="0" w:oddVBand="0" w:evenVBand="0" w:oddHBand="0" w:evenHBand="0" w:firstRowFirstColumn="0" w:firstRowLastColumn="0" w:lastRowFirstColumn="0" w:lastRowLastColumn="0"/>
              <w:rPr>
                <w:rFonts w:cs="Arial"/>
              </w:rPr>
            </w:pPr>
            <w:r w:rsidRPr="00D026D1">
              <w:rPr>
                <w:rFonts w:eastAsia="Arial" w:cs="Arial"/>
                <w:color w:val="FFFFFF" w:themeColor="background1"/>
                <w:sz w:val="18"/>
                <w:szCs w:val="18"/>
              </w:rPr>
              <w:t>L/M/H</w:t>
            </w:r>
          </w:p>
        </w:tc>
        <w:tc>
          <w:tcPr>
            <w:tcW w:w="4215" w:type="dxa"/>
            <w:tcBorders>
              <w:top w:val="single" w:sz="8" w:space="0" w:color="000000" w:themeColor="text1"/>
              <w:bottom w:val="single" w:sz="8" w:space="0" w:color="000000" w:themeColor="text1"/>
              <w:right w:val="single" w:sz="8" w:space="0" w:color="000000" w:themeColor="text1"/>
            </w:tcBorders>
          </w:tcPr>
          <w:p w:rsidR="001F25ED" w:rsidRPr="00D026D1" w:rsidRDefault="001F25ED" w:rsidP="00E9679D">
            <w:pPr>
              <w:cnfStyle w:val="100000000000" w:firstRow="1" w:lastRow="0" w:firstColumn="0" w:lastColumn="0" w:oddVBand="0" w:evenVBand="0" w:oddHBand="0" w:evenHBand="0" w:firstRowFirstColumn="0" w:firstRowLastColumn="0" w:lastRowFirstColumn="0" w:lastRowLastColumn="0"/>
              <w:rPr>
                <w:rFonts w:cs="Arial"/>
              </w:rPr>
            </w:pPr>
            <w:r w:rsidRPr="00D026D1">
              <w:rPr>
                <w:rFonts w:eastAsia="Arial" w:cs="Arial"/>
                <w:color w:val="FFFFFF" w:themeColor="background1"/>
                <w:sz w:val="18"/>
                <w:szCs w:val="18"/>
              </w:rPr>
              <w:t xml:space="preserve">Mitigation </w:t>
            </w:r>
          </w:p>
        </w:tc>
      </w:tr>
      <w:tr w:rsidR="001F25ED" w:rsidRPr="00D026D1" w:rsidTr="00E9679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595" w:type="dxa"/>
            <w:gridSpan w:val="3"/>
            <w:tcBorders>
              <w:top w:val="single" w:sz="8" w:space="0" w:color="000000" w:themeColor="text1"/>
              <w:left w:val="single" w:sz="8" w:space="0" w:color="666666"/>
              <w:bottom w:val="single" w:sz="8" w:space="0" w:color="666666"/>
              <w:right w:val="single" w:sz="8" w:space="0" w:color="666666"/>
            </w:tcBorders>
            <w:shd w:val="clear" w:color="auto" w:fill="CCCCCC"/>
          </w:tcPr>
          <w:p w:rsidR="001F25ED" w:rsidRPr="00D026D1" w:rsidRDefault="001F25ED" w:rsidP="00E9679D">
            <w:pPr>
              <w:rPr>
                <w:rFonts w:cs="Arial"/>
              </w:rPr>
            </w:pPr>
            <w:r w:rsidRPr="00D026D1">
              <w:rPr>
                <w:rFonts w:eastAsia="Arial" w:cs="Arial"/>
                <w:color w:val="000000" w:themeColor="text1"/>
                <w:sz w:val="18"/>
                <w:szCs w:val="18"/>
              </w:rPr>
              <w:t>Advice and Money Management Support Services</w:t>
            </w:r>
          </w:p>
          <w:p w:rsidR="001F25ED" w:rsidRPr="00D026D1" w:rsidRDefault="001F25ED" w:rsidP="00E9679D">
            <w:pPr>
              <w:rPr>
                <w:rFonts w:cs="Arial"/>
                <w:b w:val="0"/>
              </w:rPr>
            </w:pPr>
            <w:r w:rsidRPr="00D026D1">
              <w:rPr>
                <w:rFonts w:eastAsia="Arial" w:cs="Arial"/>
                <w:b w:val="0"/>
                <w:color w:val="000000" w:themeColor="text1"/>
                <w:sz w:val="14"/>
                <w:szCs w:val="14"/>
              </w:rPr>
              <w:t>A saving is proposed across the sector, but it would remain a commissioned service.</w:t>
            </w:r>
          </w:p>
        </w:tc>
      </w:tr>
      <w:tr w:rsidR="001F25ED" w:rsidRPr="00D026D1" w:rsidTr="00E9679D">
        <w:trPr>
          <w:trHeight w:val="72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Pr>
          <w:p w:rsidR="001F25ED" w:rsidRPr="00D026D1" w:rsidRDefault="001F25ED" w:rsidP="001F25ED">
            <w:pPr>
              <w:pStyle w:val="ListParagraph"/>
              <w:numPr>
                <w:ilvl w:val="0"/>
                <w:numId w:val="2"/>
              </w:numPr>
              <w:rPr>
                <w:rFonts w:eastAsiaTheme="minorEastAsia" w:cs="Arial"/>
                <w:b w:val="0"/>
                <w:bCs w:val="0"/>
                <w:color w:val="000000" w:themeColor="text1"/>
                <w:sz w:val="14"/>
                <w:szCs w:val="14"/>
              </w:rPr>
            </w:pPr>
            <w:r w:rsidRPr="00D026D1">
              <w:rPr>
                <w:rFonts w:cs="Arial"/>
                <w:b w:val="0"/>
                <w:bCs w:val="0"/>
                <w:sz w:val="14"/>
                <w:szCs w:val="14"/>
              </w:rPr>
              <w:t>The proposed saving across the 'Advice' budget should be applied proportionately.</w:t>
            </w:r>
          </w:p>
          <w:p w:rsidR="001F25ED" w:rsidRPr="00D026D1" w:rsidRDefault="001F25ED" w:rsidP="001F25ED">
            <w:pPr>
              <w:pStyle w:val="ListParagraph"/>
              <w:numPr>
                <w:ilvl w:val="0"/>
                <w:numId w:val="2"/>
              </w:numPr>
              <w:rPr>
                <w:rFonts w:eastAsiaTheme="minorEastAsia" w:cs="Arial"/>
                <w:b w:val="0"/>
                <w:bCs w:val="0"/>
                <w:color w:val="000000" w:themeColor="text1"/>
                <w:sz w:val="14"/>
                <w:szCs w:val="14"/>
              </w:rPr>
            </w:pPr>
            <w:r w:rsidRPr="00D026D1">
              <w:rPr>
                <w:rFonts w:cs="Arial"/>
                <w:b w:val="0"/>
                <w:bCs w:val="0"/>
                <w:sz w:val="14"/>
                <w:szCs w:val="14"/>
              </w:rPr>
              <w:t>Loss of the Advice Development Fund.</w:t>
            </w:r>
          </w:p>
          <w:p w:rsidR="001F25ED" w:rsidRPr="00D026D1" w:rsidRDefault="001F25ED" w:rsidP="001F25ED">
            <w:pPr>
              <w:pStyle w:val="ListParagraph"/>
              <w:numPr>
                <w:ilvl w:val="0"/>
                <w:numId w:val="2"/>
              </w:numPr>
              <w:rPr>
                <w:rFonts w:eastAsiaTheme="minorEastAsia" w:cs="Arial"/>
                <w:b w:val="0"/>
                <w:bCs w:val="0"/>
                <w:color w:val="000000" w:themeColor="text1"/>
                <w:sz w:val="14"/>
                <w:szCs w:val="14"/>
              </w:rPr>
            </w:pPr>
            <w:r w:rsidRPr="00D026D1">
              <w:rPr>
                <w:rFonts w:cs="Arial"/>
                <w:b w:val="0"/>
                <w:bCs w:val="0"/>
                <w:sz w:val="14"/>
                <w:szCs w:val="14"/>
              </w:rPr>
              <w:t>The proposed commissioning programme is challenging to ensure continuity of service is achieved by April 2022.</w:t>
            </w:r>
          </w:p>
        </w:tc>
        <w:tc>
          <w:tcPr>
            <w:tcW w:w="780" w:type="dxa"/>
            <w:tcBorders>
              <w:top w:val="nil"/>
              <w:left w:val="single" w:sz="8" w:space="0" w:color="666666"/>
              <w:bottom w:val="single" w:sz="8" w:space="0" w:color="666666"/>
              <w:right w:val="single" w:sz="8" w:space="0" w:color="666666"/>
            </w:tcBorders>
          </w:tcPr>
          <w:p w:rsidR="001F25ED" w:rsidRPr="00D026D1" w:rsidRDefault="001F25ED" w:rsidP="00E9679D">
            <w:pPr>
              <w:jc w:val="center"/>
              <w:cnfStyle w:val="000000000000" w:firstRow="0" w:lastRow="0" w:firstColumn="0" w:lastColumn="0" w:oddVBand="0" w:evenVBand="0" w:oddHBand="0" w:evenHBand="0" w:firstRowFirstColumn="0" w:firstRowLastColumn="0" w:lastRowFirstColumn="0" w:lastRowLastColumn="0"/>
              <w:rPr>
                <w:rFonts w:cs="Arial"/>
              </w:rPr>
            </w:pPr>
            <w:r w:rsidRPr="00D026D1">
              <w:rPr>
                <w:rFonts w:eastAsia="Arial" w:cs="Arial"/>
                <w:color w:val="000000" w:themeColor="text1"/>
                <w:sz w:val="14"/>
                <w:szCs w:val="14"/>
              </w:rPr>
              <w:t>L</w:t>
            </w:r>
          </w:p>
        </w:tc>
        <w:tc>
          <w:tcPr>
            <w:tcW w:w="4215" w:type="dxa"/>
            <w:tcBorders>
              <w:top w:val="nil"/>
              <w:left w:val="single" w:sz="8" w:space="0" w:color="666666"/>
              <w:bottom w:val="single" w:sz="8" w:space="0" w:color="666666"/>
              <w:right w:val="single" w:sz="8" w:space="0" w:color="666666"/>
            </w:tcBorders>
          </w:tcPr>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 xml:space="preserve">The Service Integration Project pilot will, it is hoped, reduce the number of complex cases being referred to the advice centres. </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The co-location of some advice centres within OCC buildings may provide additional scope for savings.</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Partners from across the sector may apply to the new Community Impact Fund (CIF).</w:t>
            </w:r>
          </w:p>
        </w:tc>
      </w:tr>
      <w:tr w:rsidR="001F25ED" w:rsidRPr="00D026D1" w:rsidTr="00E9679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95" w:type="dxa"/>
            <w:gridSpan w:val="3"/>
            <w:tcBorders>
              <w:top w:val="single" w:sz="8" w:space="0" w:color="666666"/>
              <w:left w:val="single" w:sz="8" w:space="0" w:color="666666"/>
              <w:bottom w:val="single" w:sz="8" w:space="0" w:color="666666"/>
              <w:right w:val="single" w:sz="8" w:space="0" w:color="666666"/>
            </w:tcBorders>
            <w:shd w:val="clear" w:color="auto" w:fill="CCCCCC"/>
          </w:tcPr>
          <w:p w:rsidR="001F25ED" w:rsidRPr="00D026D1" w:rsidRDefault="001F25ED" w:rsidP="00E9679D">
            <w:pPr>
              <w:rPr>
                <w:rFonts w:cs="Arial"/>
              </w:rPr>
            </w:pPr>
            <w:r w:rsidRPr="00D026D1">
              <w:rPr>
                <w:rFonts w:eastAsia="Arial" w:cs="Arial"/>
                <w:color w:val="000000" w:themeColor="text1"/>
                <w:sz w:val="18"/>
                <w:szCs w:val="18"/>
              </w:rPr>
              <w:t>Arts and Cultural Services</w:t>
            </w:r>
          </w:p>
          <w:p w:rsidR="001F25ED" w:rsidRPr="00D026D1" w:rsidRDefault="001F25ED" w:rsidP="00E9679D">
            <w:pPr>
              <w:rPr>
                <w:rFonts w:cs="Arial"/>
                <w:b w:val="0"/>
              </w:rPr>
            </w:pPr>
            <w:r w:rsidRPr="00D026D1">
              <w:rPr>
                <w:rFonts w:eastAsia="Arial" w:cs="Arial"/>
                <w:b w:val="0"/>
                <w:color w:val="000000" w:themeColor="text1"/>
                <w:sz w:val="14"/>
                <w:szCs w:val="14"/>
              </w:rPr>
              <w:t xml:space="preserve">The grants review will signal the commitment OCC affords core Oxford cultural providers at a critical time when the Arts Council is launching its new National Portfolio Organisation (NPO) funding round. NPO status confers critical stable financing, which supports the local economy.  The status is not just important for the individual organisation but cumulatively on the credibility, visibility, reach and critical mass of the whole city's cultural offer. </w:t>
            </w:r>
          </w:p>
        </w:tc>
      </w:tr>
      <w:tr w:rsidR="001F25ED" w:rsidRPr="00D026D1" w:rsidTr="00E9679D">
        <w:trPr>
          <w:trHeight w:val="48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Pr>
          <w:p w:rsidR="001F25ED" w:rsidRPr="00D026D1" w:rsidRDefault="001F25ED" w:rsidP="001F25ED">
            <w:pPr>
              <w:pStyle w:val="ListParagraph"/>
              <w:numPr>
                <w:ilvl w:val="0"/>
                <w:numId w:val="1"/>
              </w:numPr>
              <w:rPr>
                <w:rFonts w:eastAsiaTheme="minorEastAsia" w:cs="Arial"/>
                <w:b w:val="0"/>
                <w:bCs w:val="0"/>
                <w:color w:val="000000" w:themeColor="text1"/>
                <w:sz w:val="14"/>
                <w:szCs w:val="14"/>
              </w:rPr>
            </w:pPr>
            <w:r w:rsidRPr="00D026D1">
              <w:rPr>
                <w:rFonts w:cs="Arial"/>
                <w:b w:val="0"/>
                <w:bCs w:val="0"/>
                <w:sz w:val="14"/>
                <w:szCs w:val="14"/>
              </w:rPr>
              <w:t>Arts and cultural providers will no longer have the benefit of a ring-fenced grant to support the sector – instead the impact of proposed services and projects must be judged against the proposed (and weighted) criteria for the CIF competitively.</w:t>
            </w:r>
          </w:p>
          <w:p w:rsidR="001F25ED" w:rsidRPr="00D026D1" w:rsidRDefault="001F25ED" w:rsidP="001F25ED">
            <w:pPr>
              <w:pStyle w:val="ListParagraph"/>
              <w:numPr>
                <w:ilvl w:val="0"/>
                <w:numId w:val="1"/>
              </w:numPr>
              <w:rPr>
                <w:rFonts w:cs="Arial"/>
                <w:b w:val="0"/>
                <w:bCs w:val="0"/>
                <w:color w:val="000000" w:themeColor="text1"/>
                <w:sz w:val="14"/>
                <w:szCs w:val="14"/>
              </w:rPr>
            </w:pPr>
            <w:r w:rsidRPr="00D026D1">
              <w:rPr>
                <w:rFonts w:cs="Arial"/>
                <w:b w:val="0"/>
                <w:bCs w:val="0"/>
                <w:sz w:val="14"/>
                <w:szCs w:val="14"/>
              </w:rPr>
              <w:t>Subsidy agreements around rents will remain in place, although some may have a reduction.</w:t>
            </w:r>
          </w:p>
          <w:p w:rsidR="001F25ED" w:rsidRPr="00D026D1" w:rsidRDefault="001F25ED" w:rsidP="001F25ED">
            <w:pPr>
              <w:pStyle w:val="ListParagraph"/>
              <w:numPr>
                <w:ilvl w:val="0"/>
                <w:numId w:val="1"/>
              </w:numPr>
              <w:rPr>
                <w:rFonts w:eastAsiaTheme="minorEastAsia" w:cs="Arial"/>
                <w:b w:val="0"/>
                <w:bCs w:val="0"/>
                <w:color w:val="000000" w:themeColor="text1"/>
                <w:sz w:val="14"/>
                <w:szCs w:val="14"/>
              </w:rPr>
            </w:pPr>
            <w:r w:rsidRPr="00D026D1">
              <w:rPr>
                <w:rFonts w:cs="Arial"/>
                <w:b w:val="0"/>
                <w:bCs w:val="0"/>
                <w:sz w:val="14"/>
                <w:szCs w:val="14"/>
              </w:rPr>
              <w:t xml:space="preserve">Potential impact on the Arts Council's decision whether to maintain NPO status for some organisations. </w:t>
            </w:r>
          </w:p>
        </w:tc>
        <w:tc>
          <w:tcPr>
            <w:tcW w:w="780" w:type="dxa"/>
            <w:tcBorders>
              <w:top w:val="nil"/>
              <w:left w:val="single" w:sz="8" w:space="0" w:color="666666"/>
              <w:bottom w:val="single" w:sz="8" w:space="0" w:color="666666"/>
              <w:right w:val="single" w:sz="8" w:space="0" w:color="666666"/>
            </w:tcBorders>
          </w:tcPr>
          <w:p w:rsidR="001F25ED" w:rsidRPr="00D026D1" w:rsidRDefault="001F25ED" w:rsidP="00E9679D">
            <w:pPr>
              <w:jc w:val="center"/>
              <w:cnfStyle w:val="000000000000" w:firstRow="0" w:lastRow="0" w:firstColumn="0" w:lastColumn="0" w:oddVBand="0" w:evenVBand="0" w:oddHBand="0" w:evenHBand="0" w:firstRowFirstColumn="0" w:firstRowLastColumn="0" w:lastRowFirstColumn="0" w:lastRowLastColumn="0"/>
              <w:rPr>
                <w:rFonts w:cs="Arial"/>
              </w:rPr>
            </w:pPr>
            <w:r w:rsidRPr="00D026D1">
              <w:rPr>
                <w:rFonts w:eastAsia="Arial" w:cs="Arial"/>
                <w:color w:val="000000" w:themeColor="text1"/>
                <w:sz w:val="14"/>
                <w:szCs w:val="14"/>
              </w:rPr>
              <w:t>M</w:t>
            </w:r>
          </w:p>
        </w:tc>
        <w:tc>
          <w:tcPr>
            <w:tcW w:w="4215" w:type="dxa"/>
            <w:tcBorders>
              <w:top w:val="nil"/>
              <w:left w:val="single" w:sz="8" w:space="0" w:color="666666"/>
              <w:bottom w:val="single" w:sz="8" w:space="0" w:color="666666"/>
              <w:right w:val="single" w:sz="8" w:space="0" w:color="666666"/>
            </w:tcBorders>
          </w:tcPr>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Organisations will be eligible to apply to the CIF based on the expertise they have (e.g. addressing inequalities).</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With social prescribing embedded as a core element of the Universal Personalised Care system, this area of work will undergo radical transformation and additional health funding (with government commitments in place to deliver the Comprehensive Model by 2023/24).</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Many groups have a strong reputation and have secured grant support from competitive national funding programmes. Their reputation as cutting-edge innovators should help to ensure that they are of interest to a range of local, regional and national funders.</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OCC supports the preservation of NPO status as a cornerstone of the cultural and visitor offer.</w:t>
            </w:r>
          </w:p>
        </w:tc>
      </w:tr>
      <w:tr w:rsidR="001F25ED" w:rsidRPr="00D026D1" w:rsidTr="00E9679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95" w:type="dxa"/>
            <w:gridSpan w:val="3"/>
            <w:tcBorders>
              <w:top w:val="single" w:sz="8" w:space="0" w:color="666666"/>
              <w:left w:val="single" w:sz="8" w:space="0" w:color="666666"/>
              <w:bottom w:val="single" w:sz="8" w:space="0" w:color="666666"/>
              <w:right w:val="single" w:sz="8" w:space="0" w:color="666666"/>
            </w:tcBorders>
            <w:shd w:val="clear" w:color="auto" w:fill="CCCCCC"/>
          </w:tcPr>
          <w:p w:rsidR="001F25ED" w:rsidRPr="00D026D1" w:rsidRDefault="001F25ED" w:rsidP="00E9679D">
            <w:pPr>
              <w:rPr>
                <w:rFonts w:cs="Arial"/>
              </w:rPr>
            </w:pPr>
            <w:r w:rsidRPr="00D026D1">
              <w:rPr>
                <w:rFonts w:eastAsia="Arial" w:cs="Arial"/>
                <w:color w:val="000000" w:themeColor="text1"/>
                <w:sz w:val="18"/>
                <w:szCs w:val="18"/>
              </w:rPr>
              <w:t>Community Safety Services</w:t>
            </w:r>
          </w:p>
          <w:p w:rsidR="001F25ED" w:rsidRPr="00D026D1" w:rsidRDefault="001F25ED" w:rsidP="00E9679D">
            <w:pPr>
              <w:rPr>
                <w:rFonts w:cs="Arial"/>
                <w:b w:val="0"/>
              </w:rPr>
            </w:pPr>
            <w:r w:rsidRPr="00D026D1">
              <w:rPr>
                <w:rFonts w:eastAsia="Arial" w:cs="Arial"/>
                <w:b w:val="0"/>
                <w:color w:val="000000" w:themeColor="text1"/>
                <w:sz w:val="14"/>
                <w:szCs w:val="14"/>
              </w:rPr>
              <w:t>The proposal would support domestic abuse services only. Other services would be redirected to the Community Impact Fund.</w:t>
            </w:r>
          </w:p>
        </w:tc>
      </w:tr>
      <w:tr w:rsidR="001F25ED" w:rsidRPr="00D026D1" w:rsidTr="00E9679D">
        <w:trPr>
          <w:trHeight w:val="72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Pr>
          <w:p w:rsidR="001F25ED" w:rsidRPr="00D026D1" w:rsidRDefault="001F25ED" w:rsidP="00E9679D">
            <w:pPr>
              <w:rPr>
                <w:rFonts w:eastAsia="Arial" w:cs="Arial"/>
                <w:b w:val="0"/>
                <w:bCs w:val="0"/>
                <w:color w:val="000000" w:themeColor="text1"/>
                <w:sz w:val="14"/>
                <w:szCs w:val="14"/>
              </w:rPr>
            </w:pPr>
            <w:r w:rsidRPr="00D026D1">
              <w:rPr>
                <w:rFonts w:eastAsia="Arial" w:cs="Arial"/>
                <w:b w:val="0"/>
                <w:bCs w:val="0"/>
                <w:color w:val="000000" w:themeColor="text1"/>
                <w:sz w:val="14"/>
                <w:szCs w:val="14"/>
              </w:rPr>
              <w:t>No impact as domestic violence funding remains in commissioning.</w:t>
            </w:r>
          </w:p>
          <w:p w:rsidR="001F25ED" w:rsidRPr="00D026D1" w:rsidRDefault="001F25ED" w:rsidP="00E9679D">
            <w:pPr>
              <w:rPr>
                <w:rFonts w:eastAsia="Arial" w:cs="Arial"/>
                <w:b w:val="0"/>
                <w:bCs w:val="0"/>
                <w:color w:val="000000" w:themeColor="text1"/>
                <w:sz w:val="14"/>
                <w:szCs w:val="14"/>
              </w:rPr>
            </w:pPr>
            <w:r w:rsidRPr="00D026D1">
              <w:rPr>
                <w:rFonts w:eastAsia="Arial" w:cs="Arial"/>
                <w:b w:val="0"/>
                <w:bCs w:val="0"/>
                <w:color w:val="000000" w:themeColor="text1"/>
                <w:sz w:val="14"/>
                <w:szCs w:val="14"/>
              </w:rPr>
              <w:t xml:space="preserve"> </w:t>
            </w:r>
          </w:p>
        </w:tc>
        <w:tc>
          <w:tcPr>
            <w:tcW w:w="780" w:type="dxa"/>
            <w:tcBorders>
              <w:top w:val="nil"/>
              <w:left w:val="single" w:sz="8" w:space="0" w:color="666666"/>
              <w:bottom w:val="single" w:sz="8" w:space="0" w:color="666666"/>
              <w:right w:val="single" w:sz="8" w:space="0" w:color="666666"/>
            </w:tcBorders>
          </w:tcPr>
          <w:p w:rsidR="001F25ED" w:rsidRPr="00D026D1" w:rsidRDefault="001F25ED" w:rsidP="00E9679D">
            <w:pPr>
              <w:jc w:val="center"/>
              <w:cnfStyle w:val="000000000000" w:firstRow="0" w:lastRow="0" w:firstColumn="0" w:lastColumn="0" w:oddVBand="0" w:evenVBand="0" w:oddHBand="0" w:evenHBand="0" w:firstRowFirstColumn="0" w:firstRowLastColumn="0" w:lastRowFirstColumn="0" w:lastRowLastColumn="0"/>
              <w:rPr>
                <w:rFonts w:cs="Arial"/>
              </w:rPr>
            </w:pPr>
            <w:r w:rsidRPr="00D026D1">
              <w:rPr>
                <w:rFonts w:eastAsia="Arial" w:cs="Arial"/>
                <w:color w:val="000000" w:themeColor="text1"/>
                <w:sz w:val="14"/>
                <w:szCs w:val="14"/>
              </w:rPr>
              <w:t>L</w:t>
            </w:r>
          </w:p>
        </w:tc>
        <w:tc>
          <w:tcPr>
            <w:tcW w:w="4215" w:type="dxa"/>
            <w:tcBorders>
              <w:top w:val="nil"/>
              <w:left w:val="single" w:sz="8" w:space="0" w:color="666666"/>
              <w:bottom w:val="single" w:sz="8" w:space="0" w:color="666666"/>
              <w:right w:val="single" w:sz="8" w:space="0" w:color="666666"/>
            </w:tcBorders>
          </w:tcPr>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No mitigation required as funding retained.</w:t>
            </w:r>
          </w:p>
          <w:p w:rsidR="001F25ED" w:rsidRPr="00D026D1" w:rsidRDefault="001F25ED" w:rsidP="00E9679D">
            <w:pPr>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Groups may wish to apply for CIF grants.</w:t>
            </w:r>
          </w:p>
        </w:tc>
        <w:bookmarkStart w:id="0" w:name="_GoBack"/>
        <w:bookmarkEnd w:id="0"/>
      </w:tr>
      <w:tr w:rsidR="001F25ED" w:rsidRPr="00D026D1" w:rsidTr="00E9679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95" w:type="dxa"/>
            <w:gridSpan w:val="3"/>
            <w:tcBorders>
              <w:top w:val="single" w:sz="8" w:space="0" w:color="666666"/>
              <w:left w:val="single" w:sz="8" w:space="0" w:color="666666"/>
              <w:bottom w:val="single" w:sz="8" w:space="0" w:color="666666"/>
              <w:right w:val="single" w:sz="8" w:space="0" w:color="666666"/>
            </w:tcBorders>
            <w:shd w:val="clear" w:color="auto" w:fill="CCCCCC"/>
          </w:tcPr>
          <w:p w:rsidR="001F25ED" w:rsidRPr="00D026D1" w:rsidRDefault="001F25ED" w:rsidP="00E9679D">
            <w:pPr>
              <w:rPr>
                <w:rFonts w:cs="Arial"/>
              </w:rPr>
            </w:pPr>
            <w:r w:rsidRPr="00D026D1">
              <w:rPr>
                <w:rFonts w:eastAsia="Arial" w:cs="Arial"/>
                <w:color w:val="000000" w:themeColor="text1"/>
                <w:sz w:val="18"/>
                <w:szCs w:val="18"/>
              </w:rPr>
              <w:t>Inclusive Play Services</w:t>
            </w:r>
          </w:p>
        </w:tc>
      </w:tr>
      <w:tr w:rsidR="001F25ED" w:rsidRPr="00D33376" w:rsidTr="00E9679D">
        <w:trPr>
          <w:trHeight w:val="96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Pr>
          <w:p w:rsidR="001F25ED" w:rsidRPr="00D026D1" w:rsidRDefault="001F25ED" w:rsidP="00E9679D">
            <w:pPr>
              <w:rPr>
                <w:rFonts w:eastAsia="Arial" w:cs="Arial"/>
                <w:b w:val="0"/>
                <w:color w:val="000000" w:themeColor="text1"/>
                <w:sz w:val="14"/>
                <w:szCs w:val="14"/>
              </w:rPr>
            </w:pPr>
          </w:p>
          <w:p w:rsidR="001F25ED" w:rsidRPr="00D026D1" w:rsidRDefault="001F25ED" w:rsidP="00E9679D">
            <w:pPr>
              <w:rPr>
                <w:rFonts w:eastAsia="Arial" w:cs="Arial"/>
                <w:b w:val="0"/>
                <w:bCs w:val="0"/>
                <w:color w:val="000000" w:themeColor="text1"/>
                <w:sz w:val="14"/>
                <w:szCs w:val="14"/>
              </w:rPr>
            </w:pPr>
            <w:r w:rsidRPr="00D026D1">
              <w:rPr>
                <w:rFonts w:eastAsia="Arial" w:cs="Arial"/>
                <w:b w:val="0"/>
                <w:color w:val="000000" w:themeColor="text1"/>
                <w:sz w:val="14"/>
                <w:szCs w:val="14"/>
              </w:rPr>
              <w:t>This would be removed from a ring-fenced and commissioned services grant fund</w:t>
            </w:r>
          </w:p>
        </w:tc>
        <w:tc>
          <w:tcPr>
            <w:tcW w:w="780" w:type="dxa"/>
            <w:tcBorders>
              <w:top w:val="nil"/>
              <w:left w:val="single" w:sz="8" w:space="0" w:color="666666"/>
              <w:bottom w:val="single" w:sz="8" w:space="0" w:color="666666"/>
              <w:right w:val="single" w:sz="8" w:space="0" w:color="666666"/>
            </w:tcBorders>
          </w:tcPr>
          <w:p w:rsidR="001F25ED" w:rsidRPr="00D026D1" w:rsidRDefault="001F25ED" w:rsidP="00E9679D">
            <w:pPr>
              <w:jc w:val="center"/>
              <w:cnfStyle w:val="000000000000" w:firstRow="0" w:lastRow="0" w:firstColumn="0" w:lastColumn="0" w:oddVBand="0" w:evenVBand="0" w:oddHBand="0" w:evenHBand="0" w:firstRowFirstColumn="0" w:firstRowLastColumn="0" w:lastRowFirstColumn="0" w:lastRowLastColumn="0"/>
              <w:rPr>
                <w:rFonts w:cs="Arial"/>
              </w:rPr>
            </w:pPr>
            <w:r w:rsidRPr="00D026D1">
              <w:rPr>
                <w:rFonts w:eastAsia="Arial" w:cs="Arial"/>
                <w:color w:val="000000" w:themeColor="text1"/>
                <w:sz w:val="14"/>
                <w:szCs w:val="14"/>
              </w:rPr>
              <w:t>L</w:t>
            </w:r>
          </w:p>
        </w:tc>
        <w:tc>
          <w:tcPr>
            <w:tcW w:w="4215" w:type="dxa"/>
            <w:tcBorders>
              <w:top w:val="nil"/>
              <w:left w:val="single" w:sz="8" w:space="0" w:color="666666"/>
              <w:bottom w:val="single" w:sz="8" w:space="0" w:color="666666"/>
              <w:right w:val="single" w:sz="8" w:space="0" w:color="666666"/>
            </w:tcBorders>
          </w:tcPr>
          <w:p w:rsidR="001F25ED" w:rsidRPr="00AF5299" w:rsidRDefault="001F25ED" w:rsidP="00D2320D">
            <w:pPr>
              <w:ind w:left="360" w:hanging="360"/>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 w:val="14"/>
                <w:szCs w:val="14"/>
              </w:rPr>
            </w:pPr>
            <w:r w:rsidRPr="00D026D1">
              <w:rPr>
                <w:rFonts w:cs="Arial"/>
                <w:sz w:val="14"/>
                <w:szCs w:val="14"/>
              </w:rPr>
              <w:t xml:space="preserve"> </w:t>
            </w:r>
            <w:r>
              <w:rPr>
                <w:rFonts w:cs="Arial"/>
                <w:sz w:val="14"/>
                <w:szCs w:val="14"/>
              </w:rPr>
              <w:t xml:space="preserve">          </w:t>
            </w:r>
            <w:r w:rsidRPr="00D026D1">
              <w:rPr>
                <w:rFonts w:cs="Arial"/>
                <w:sz w:val="14"/>
                <w:szCs w:val="14"/>
              </w:rPr>
              <w:t>Groups will be encouraged to apply for the CIF.</w:t>
            </w:r>
          </w:p>
        </w:tc>
      </w:tr>
    </w:tbl>
    <w:p w:rsidR="001F25ED" w:rsidRDefault="001F25ED"/>
    <w:sectPr w:rsidR="001F2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EF5DE0"/>
    <w:multiLevelType w:val="hybridMultilevel"/>
    <w:tmpl w:val="2A50CC32"/>
    <w:lvl w:ilvl="0" w:tplc="4E768C60">
      <w:start w:val="1"/>
      <w:numFmt w:val="decimal"/>
      <w:lvlText w:val="%1."/>
      <w:lvlJc w:val="left"/>
      <w:pPr>
        <w:ind w:left="720" w:hanging="360"/>
      </w:pPr>
    </w:lvl>
    <w:lvl w:ilvl="1" w:tplc="B0C03A40">
      <w:start w:val="1"/>
      <w:numFmt w:val="lowerLetter"/>
      <w:lvlText w:val="%2."/>
      <w:lvlJc w:val="left"/>
      <w:pPr>
        <w:ind w:left="1440" w:hanging="360"/>
      </w:pPr>
    </w:lvl>
    <w:lvl w:ilvl="2" w:tplc="2CC2885A">
      <w:start w:val="1"/>
      <w:numFmt w:val="lowerRoman"/>
      <w:lvlText w:val="%3."/>
      <w:lvlJc w:val="right"/>
      <w:pPr>
        <w:ind w:left="2160" w:hanging="180"/>
      </w:pPr>
    </w:lvl>
    <w:lvl w:ilvl="3" w:tplc="883CFD0E">
      <w:start w:val="1"/>
      <w:numFmt w:val="decimal"/>
      <w:lvlText w:val="%4."/>
      <w:lvlJc w:val="left"/>
      <w:pPr>
        <w:ind w:left="2880" w:hanging="360"/>
      </w:pPr>
    </w:lvl>
    <w:lvl w:ilvl="4" w:tplc="CC9C32FC">
      <w:start w:val="1"/>
      <w:numFmt w:val="lowerLetter"/>
      <w:lvlText w:val="%5."/>
      <w:lvlJc w:val="left"/>
      <w:pPr>
        <w:ind w:left="3600" w:hanging="360"/>
      </w:pPr>
    </w:lvl>
    <w:lvl w:ilvl="5" w:tplc="385C7170">
      <w:start w:val="1"/>
      <w:numFmt w:val="lowerRoman"/>
      <w:lvlText w:val="%6."/>
      <w:lvlJc w:val="right"/>
      <w:pPr>
        <w:ind w:left="4320" w:hanging="180"/>
      </w:pPr>
    </w:lvl>
    <w:lvl w:ilvl="6" w:tplc="3550B1B4">
      <w:start w:val="1"/>
      <w:numFmt w:val="decimal"/>
      <w:lvlText w:val="%7."/>
      <w:lvlJc w:val="left"/>
      <w:pPr>
        <w:ind w:left="5040" w:hanging="360"/>
      </w:pPr>
    </w:lvl>
    <w:lvl w:ilvl="7" w:tplc="EAD46D8E">
      <w:start w:val="1"/>
      <w:numFmt w:val="lowerLetter"/>
      <w:lvlText w:val="%8."/>
      <w:lvlJc w:val="left"/>
      <w:pPr>
        <w:ind w:left="5760" w:hanging="360"/>
      </w:pPr>
    </w:lvl>
    <w:lvl w:ilvl="8" w:tplc="3B408A4A">
      <w:start w:val="1"/>
      <w:numFmt w:val="lowerRoman"/>
      <w:lvlText w:val="%9."/>
      <w:lvlJc w:val="right"/>
      <w:pPr>
        <w:ind w:left="6480" w:hanging="180"/>
      </w:pPr>
    </w:lvl>
  </w:abstractNum>
  <w:abstractNum w:abstractNumId="2" w15:restartNumberingAfterBreak="0">
    <w:nsid w:val="341B1B55"/>
    <w:multiLevelType w:val="hybridMultilevel"/>
    <w:tmpl w:val="A558A398"/>
    <w:lvl w:ilvl="0" w:tplc="900EEFBC">
      <w:start w:val="1"/>
      <w:numFmt w:val="decimal"/>
      <w:lvlText w:val="%1."/>
      <w:lvlJc w:val="left"/>
      <w:pPr>
        <w:ind w:left="720" w:hanging="360"/>
      </w:pPr>
    </w:lvl>
    <w:lvl w:ilvl="1" w:tplc="C8367618">
      <w:start w:val="1"/>
      <w:numFmt w:val="lowerLetter"/>
      <w:lvlText w:val="%2."/>
      <w:lvlJc w:val="left"/>
      <w:pPr>
        <w:ind w:left="1440" w:hanging="360"/>
      </w:pPr>
    </w:lvl>
    <w:lvl w:ilvl="2" w:tplc="122EE076">
      <w:start w:val="1"/>
      <w:numFmt w:val="lowerRoman"/>
      <w:lvlText w:val="%3."/>
      <w:lvlJc w:val="right"/>
      <w:pPr>
        <w:ind w:left="2160" w:hanging="180"/>
      </w:pPr>
    </w:lvl>
    <w:lvl w:ilvl="3" w:tplc="D1901574">
      <w:start w:val="1"/>
      <w:numFmt w:val="decimal"/>
      <w:lvlText w:val="%4."/>
      <w:lvlJc w:val="left"/>
      <w:pPr>
        <w:ind w:left="2880" w:hanging="360"/>
      </w:pPr>
    </w:lvl>
    <w:lvl w:ilvl="4" w:tplc="7B4454DC">
      <w:start w:val="1"/>
      <w:numFmt w:val="lowerLetter"/>
      <w:lvlText w:val="%5."/>
      <w:lvlJc w:val="left"/>
      <w:pPr>
        <w:ind w:left="3600" w:hanging="360"/>
      </w:pPr>
    </w:lvl>
    <w:lvl w:ilvl="5" w:tplc="F996AB70">
      <w:start w:val="1"/>
      <w:numFmt w:val="lowerRoman"/>
      <w:lvlText w:val="%6."/>
      <w:lvlJc w:val="right"/>
      <w:pPr>
        <w:ind w:left="4320" w:hanging="180"/>
      </w:pPr>
    </w:lvl>
    <w:lvl w:ilvl="6" w:tplc="861A3DC0">
      <w:start w:val="1"/>
      <w:numFmt w:val="decimal"/>
      <w:lvlText w:val="%7."/>
      <w:lvlJc w:val="left"/>
      <w:pPr>
        <w:ind w:left="5040" w:hanging="360"/>
      </w:pPr>
    </w:lvl>
    <w:lvl w:ilvl="7" w:tplc="724893D0">
      <w:start w:val="1"/>
      <w:numFmt w:val="lowerLetter"/>
      <w:lvlText w:val="%8."/>
      <w:lvlJc w:val="left"/>
      <w:pPr>
        <w:ind w:left="5760" w:hanging="360"/>
      </w:pPr>
    </w:lvl>
    <w:lvl w:ilvl="8" w:tplc="F5CC5B3A">
      <w:start w:val="1"/>
      <w:numFmt w:val="lowerRoman"/>
      <w:lvlText w:val="%9."/>
      <w:lvlJc w:val="right"/>
      <w:pPr>
        <w:ind w:left="6480" w:hanging="180"/>
      </w:pPr>
    </w:lvl>
  </w:abstractNum>
  <w:abstractNum w:abstractNumId="3" w15:restartNumberingAfterBreak="0">
    <w:nsid w:val="798365C6"/>
    <w:multiLevelType w:val="multilevel"/>
    <w:tmpl w:val="E67CE66C"/>
    <w:numStyleLink w:val="StyleNumberedLeft0cmHanging075cm"/>
  </w:abstractNum>
  <w:num w:numId="1">
    <w:abstractNumId w:val="2"/>
  </w:num>
  <w:num w:numId="2">
    <w:abstractNumId w:val="1"/>
  </w:num>
  <w:num w:numId="3">
    <w:abstractNumId w:val="0"/>
  </w:num>
  <w:num w:numId="4">
    <w:abstractNumId w:val="3"/>
    <w:lvlOverride w:ilvl="0">
      <w:lvl w:ilvl="0">
        <w:numFmt w:val="decimal"/>
        <w:pStyle w:val="ListParagraph"/>
        <w:lvlText w:val="%1."/>
        <w:lvlJc w:val="left"/>
        <w:pPr>
          <w:ind w:left="360" w:hanging="360"/>
        </w:pPr>
        <w:rPr>
          <w:b w:val="0"/>
          <w:i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D"/>
    <w:rsid w:val="001F25ED"/>
    <w:rsid w:val="007D1B81"/>
    <w:rsid w:val="00D2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8A29C-3BAC-4F89-A5E5-F87D66B5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ED"/>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25ED"/>
    <w:pPr>
      <w:numPr>
        <w:numId w:val="4"/>
      </w:numPr>
      <w:tabs>
        <w:tab w:val="left" w:pos="426"/>
      </w:tabs>
    </w:pPr>
  </w:style>
  <w:style w:type="numbering" w:customStyle="1" w:styleId="StyleNumberedLeft0cmHanging075cm">
    <w:name w:val="Style Numbered Left:  0 cm Hanging:  0.75 cm"/>
    <w:basedOn w:val="NoList"/>
    <w:rsid w:val="001F25ED"/>
    <w:pPr>
      <w:numPr>
        <w:numId w:val="3"/>
      </w:numPr>
    </w:pPr>
  </w:style>
  <w:style w:type="character" w:customStyle="1" w:styleId="ListParagraphChar">
    <w:name w:val="List Paragraph Char"/>
    <w:link w:val="ListParagraph"/>
    <w:uiPriority w:val="34"/>
    <w:rsid w:val="001F25ED"/>
    <w:rPr>
      <w:rFonts w:ascii="Arial" w:eastAsia="Times New Roman" w:hAnsi="Arial" w:cs="Times New Roman"/>
      <w:color w:val="000000"/>
      <w:sz w:val="24"/>
      <w:szCs w:val="24"/>
      <w:lang w:eastAsia="en-GB"/>
    </w:rPr>
  </w:style>
  <w:style w:type="table" w:styleId="GridTable4">
    <w:name w:val="Grid Table 4"/>
    <w:basedOn w:val="TableNormal"/>
    <w:uiPriority w:val="49"/>
    <w:rsid w:val="001F25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2494</Characters>
  <Application>Microsoft Office Word</Application>
  <DocSecurity>0</DocSecurity>
  <Lines>20</Lines>
  <Paragraphs>5</Paragraphs>
  <ScaleCrop>false</ScaleCrop>
  <Company>Oxford City Council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BAUGHAN James</dc:creator>
  <cp:keywords/>
  <dc:description/>
  <cp:lastModifiedBy>BAUGHAN James</cp:lastModifiedBy>
  <cp:revision>2</cp:revision>
  <dcterms:created xsi:type="dcterms:W3CDTF">2021-12-16T09:58:00Z</dcterms:created>
  <dcterms:modified xsi:type="dcterms:W3CDTF">2021-12-16T10:02:00Z</dcterms:modified>
</cp:coreProperties>
</file>